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BC" w:rsidRPr="00CF3DBC" w:rsidRDefault="00CF3DBC" w:rsidP="00CF3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BC">
        <w:rPr>
          <w:rFonts w:ascii="Times New Roman" w:hAnsi="Times New Roman" w:cs="Times New Roman"/>
          <w:b/>
          <w:sz w:val="24"/>
          <w:szCs w:val="24"/>
        </w:rPr>
        <w:t>Árverési hirdetmény</w:t>
      </w:r>
    </w:p>
    <w:p w:rsidR="002607E4" w:rsidRDefault="0077756A" w:rsidP="0077756A">
      <w:pPr>
        <w:jc w:val="both"/>
        <w:rPr>
          <w:rFonts w:ascii="Times New Roman" w:hAnsi="Times New Roman" w:cs="Times New Roman"/>
          <w:sz w:val="24"/>
          <w:szCs w:val="24"/>
        </w:rPr>
      </w:pPr>
      <w:r w:rsidRPr="0077756A">
        <w:rPr>
          <w:rFonts w:ascii="Times New Roman" w:hAnsi="Times New Roman" w:cs="Times New Roman"/>
          <w:sz w:val="24"/>
          <w:szCs w:val="24"/>
        </w:rPr>
        <w:t>A Városi Közszolgáltató Intézmény (5650 Mezőberény, Békési út 17/B fsz. 1</w:t>
      </w:r>
      <w:proofErr w:type="gramStart"/>
      <w:r w:rsidRPr="0077756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7756A">
        <w:rPr>
          <w:rFonts w:ascii="Times New Roman" w:hAnsi="Times New Roman" w:cs="Times New Roman"/>
          <w:sz w:val="24"/>
          <w:szCs w:val="24"/>
        </w:rPr>
        <w:t xml:space="preserve"> a továbbiakban Árvereztető) a nemzeti vagyonról szóló 2011. évi CXCVI. törvény</w:t>
      </w:r>
      <w:r w:rsidR="00DC59B7">
        <w:rPr>
          <w:rFonts w:ascii="Times New Roman" w:hAnsi="Times New Roman" w:cs="Times New Roman"/>
          <w:sz w:val="24"/>
          <w:szCs w:val="24"/>
        </w:rPr>
        <w:t xml:space="preserve"> 13. § (1) bekezdése, valamint Mezőberény Város Önkormányzati Képviselő-testülete </w:t>
      </w:r>
      <w:r w:rsidR="00681BA8" w:rsidRPr="00681BA8">
        <w:rPr>
          <w:rFonts w:ascii="Times New Roman" w:hAnsi="Times New Roman" w:cs="Times New Roman"/>
          <w:sz w:val="24"/>
          <w:szCs w:val="24"/>
        </w:rPr>
        <w:t xml:space="preserve">212/2017.(V.29.) </w:t>
      </w:r>
      <w:r w:rsidR="00DC59B7">
        <w:rPr>
          <w:rFonts w:ascii="Times New Roman" w:hAnsi="Times New Roman" w:cs="Times New Roman"/>
          <w:sz w:val="24"/>
          <w:szCs w:val="24"/>
        </w:rPr>
        <w:t>sz. határozata alapján</w:t>
      </w:r>
      <w:r w:rsidRPr="0077756A">
        <w:rPr>
          <w:rFonts w:ascii="Times New Roman" w:hAnsi="Times New Roman" w:cs="Times New Roman"/>
          <w:sz w:val="24"/>
          <w:szCs w:val="24"/>
        </w:rPr>
        <w:t xml:space="preserve"> árverés keretében értékesíti a</w:t>
      </w:r>
      <w:r w:rsidR="00DC59B7">
        <w:rPr>
          <w:rFonts w:ascii="Times New Roman" w:hAnsi="Times New Roman" w:cs="Times New Roman"/>
          <w:sz w:val="24"/>
          <w:szCs w:val="24"/>
        </w:rPr>
        <w:t>z</w:t>
      </w:r>
      <w:r w:rsidRPr="0077756A">
        <w:rPr>
          <w:rFonts w:ascii="Times New Roman" w:hAnsi="Times New Roman" w:cs="Times New Roman"/>
          <w:sz w:val="24"/>
          <w:szCs w:val="24"/>
        </w:rPr>
        <w:t xml:space="preserve"> alábbi vagyonelemeket:</w:t>
      </w:r>
    </w:p>
    <w:p w:rsidR="008A57B6" w:rsidRDefault="008A57B6" w:rsidP="007775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6"/>
        <w:gridCol w:w="13"/>
        <w:gridCol w:w="1826"/>
        <w:gridCol w:w="10"/>
        <w:gridCol w:w="1827"/>
        <w:gridCol w:w="8"/>
        <w:gridCol w:w="1835"/>
        <w:gridCol w:w="1833"/>
      </w:tblGrid>
      <w:tr w:rsidR="0077756A" w:rsidTr="00036565">
        <w:tc>
          <w:tcPr>
            <w:tcW w:w="1949" w:type="dxa"/>
            <w:gridSpan w:val="2"/>
          </w:tcPr>
          <w:p w:rsidR="0077756A" w:rsidRPr="001656A9" w:rsidRDefault="0077756A" w:rsidP="0016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>Jármű megnevezése</w:t>
            </w:r>
          </w:p>
        </w:tc>
        <w:tc>
          <w:tcPr>
            <w:tcW w:w="1836" w:type="dxa"/>
            <w:gridSpan w:val="2"/>
          </w:tcPr>
          <w:p w:rsidR="0077756A" w:rsidRPr="001656A9" w:rsidRDefault="0077756A" w:rsidP="0016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>Jármű típusa</w:t>
            </w:r>
          </w:p>
        </w:tc>
        <w:tc>
          <w:tcPr>
            <w:tcW w:w="1835" w:type="dxa"/>
            <w:gridSpan w:val="2"/>
          </w:tcPr>
          <w:p w:rsidR="0077756A" w:rsidRPr="001656A9" w:rsidRDefault="0077756A" w:rsidP="0016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>Forgalmi rendszáma</w:t>
            </w:r>
          </w:p>
        </w:tc>
        <w:tc>
          <w:tcPr>
            <w:tcW w:w="1835" w:type="dxa"/>
          </w:tcPr>
          <w:p w:rsidR="0077756A" w:rsidRPr="001656A9" w:rsidRDefault="0077756A" w:rsidP="0016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>Kikiáltási ára</w:t>
            </w:r>
            <w:r w:rsidR="0071650B"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833" w:type="dxa"/>
          </w:tcPr>
          <w:p w:rsidR="0077756A" w:rsidRPr="001656A9" w:rsidRDefault="0077756A" w:rsidP="00165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="0071650B" w:rsidRPr="00165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7756A" w:rsidTr="00036565">
        <w:tc>
          <w:tcPr>
            <w:tcW w:w="1949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Személygépjármű</w:t>
            </w:r>
          </w:p>
        </w:tc>
        <w:tc>
          <w:tcPr>
            <w:tcW w:w="1836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Transporter</w:t>
            </w:r>
            <w:proofErr w:type="spellEnd"/>
          </w:p>
        </w:tc>
        <w:tc>
          <w:tcPr>
            <w:tcW w:w="1835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HGH-994</w:t>
            </w:r>
          </w:p>
        </w:tc>
        <w:tc>
          <w:tcPr>
            <w:tcW w:w="1835" w:type="dxa"/>
          </w:tcPr>
          <w:p w:rsidR="0077756A" w:rsidRPr="0071650B" w:rsidRDefault="007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0B">
              <w:rPr>
                <w:rFonts w:ascii="Times New Roman" w:hAnsi="Times New Roman" w:cs="Times New Roman"/>
                <w:sz w:val="24"/>
                <w:szCs w:val="24"/>
              </w:rPr>
              <w:t>120.000,-</w:t>
            </w:r>
          </w:p>
        </w:tc>
        <w:tc>
          <w:tcPr>
            <w:tcW w:w="1833" w:type="dxa"/>
          </w:tcPr>
          <w:p w:rsidR="0077756A" w:rsidRPr="0071650B" w:rsidRDefault="007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50B">
              <w:rPr>
                <w:rFonts w:ascii="Times New Roman" w:hAnsi="Times New Roman" w:cs="Times New Roman"/>
                <w:sz w:val="24"/>
                <w:szCs w:val="24"/>
              </w:rPr>
              <w:t>32.400,-</w:t>
            </w:r>
          </w:p>
        </w:tc>
      </w:tr>
      <w:tr w:rsidR="00BB44D3" w:rsidTr="000C6134">
        <w:tc>
          <w:tcPr>
            <w:tcW w:w="9288" w:type="dxa"/>
            <w:gridSpan w:val="8"/>
          </w:tcPr>
          <w:p w:rsidR="00BB44D3" w:rsidRDefault="00BB44D3" w:rsidP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Árverési előleg (ajánlati biztosíték) összege: 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>12.000,- Ft</w:t>
            </w:r>
          </w:p>
        </w:tc>
      </w:tr>
      <w:tr w:rsidR="00F13444" w:rsidTr="000C6134">
        <w:tc>
          <w:tcPr>
            <w:tcW w:w="9288" w:type="dxa"/>
            <w:gridSpan w:val="8"/>
          </w:tcPr>
          <w:p w:rsidR="00F13444" w:rsidRDefault="001656A9" w:rsidP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Licitlépcső: 5.000,- Ft</w:t>
            </w:r>
          </w:p>
        </w:tc>
      </w:tr>
      <w:tr w:rsidR="00BB44D3" w:rsidTr="000C6134">
        <w:tc>
          <w:tcPr>
            <w:tcW w:w="9288" w:type="dxa"/>
            <w:gridSpan w:val="8"/>
          </w:tcPr>
          <w:p w:rsidR="00BB44D3" w:rsidRDefault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A" w:rsidTr="00036565">
        <w:tc>
          <w:tcPr>
            <w:tcW w:w="1949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Személygépjármű</w:t>
            </w:r>
          </w:p>
        </w:tc>
        <w:tc>
          <w:tcPr>
            <w:tcW w:w="1836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Barkas</w:t>
            </w:r>
          </w:p>
        </w:tc>
        <w:tc>
          <w:tcPr>
            <w:tcW w:w="1835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AVG-097</w:t>
            </w:r>
          </w:p>
        </w:tc>
        <w:tc>
          <w:tcPr>
            <w:tcW w:w="1835" w:type="dxa"/>
          </w:tcPr>
          <w:p w:rsidR="0077756A" w:rsidRDefault="007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833" w:type="dxa"/>
          </w:tcPr>
          <w:p w:rsidR="0077756A" w:rsidRDefault="007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13.500,-</w:t>
            </w:r>
          </w:p>
        </w:tc>
      </w:tr>
      <w:tr w:rsidR="00BB44D3" w:rsidTr="00870007">
        <w:tc>
          <w:tcPr>
            <w:tcW w:w="9288" w:type="dxa"/>
            <w:gridSpan w:val="8"/>
          </w:tcPr>
          <w:p w:rsidR="00BB44D3" w:rsidRDefault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Árverési előleg (ajánlati biztosíték) összege: 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>5.000,- Ft</w:t>
            </w:r>
          </w:p>
        </w:tc>
      </w:tr>
      <w:tr w:rsidR="001656A9" w:rsidTr="00870007">
        <w:tc>
          <w:tcPr>
            <w:tcW w:w="9288" w:type="dxa"/>
            <w:gridSpan w:val="8"/>
          </w:tcPr>
          <w:p w:rsidR="001656A9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Licitlépcső: 5.000,- Ft</w:t>
            </w:r>
          </w:p>
        </w:tc>
      </w:tr>
      <w:tr w:rsidR="00BB44D3" w:rsidTr="00870007">
        <w:tc>
          <w:tcPr>
            <w:tcW w:w="9288" w:type="dxa"/>
            <w:gridSpan w:val="8"/>
          </w:tcPr>
          <w:p w:rsidR="00BB44D3" w:rsidRDefault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A" w:rsidTr="00036565">
        <w:tc>
          <w:tcPr>
            <w:tcW w:w="1936" w:type="dxa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Kistehergépjármű</w:t>
            </w:r>
            <w:proofErr w:type="spellEnd"/>
          </w:p>
        </w:tc>
        <w:tc>
          <w:tcPr>
            <w:tcW w:w="1839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M25 platós (1981.)</w:t>
            </w:r>
          </w:p>
        </w:tc>
        <w:tc>
          <w:tcPr>
            <w:tcW w:w="1837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NBZ-129</w:t>
            </w:r>
          </w:p>
        </w:tc>
        <w:tc>
          <w:tcPr>
            <w:tcW w:w="1843" w:type="dxa"/>
            <w:gridSpan w:val="2"/>
          </w:tcPr>
          <w:p w:rsidR="0077756A" w:rsidRDefault="0071650B" w:rsidP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833" w:type="dxa"/>
          </w:tcPr>
          <w:p w:rsidR="0077756A" w:rsidRDefault="00CF48D0" w:rsidP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50B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</w:tr>
      <w:tr w:rsidR="00BB44D3" w:rsidTr="0074095A">
        <w:tc>
          <w:tcPr>
            <w:tcW w:w="9288" w:type="dxa"/>
            <w:gridSpan w:val="8"/>
          </w:tcPr>
          <w:p w:rsidR="00BB44D3" w:rsidRDefault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Árverési előleg (ajánlati biztosíték) összege: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 xml:space="preserve"> 10.000,- Ft</w:t>
            </w:r>
          </w:p>
        </w:tc>
      </w:tr>
      <w:tr w:rsidR="00BB44D3" w:rsidTr="00E60583">
        <w:tc>
          <w:tcPr>
            <w:tcW w:w="9288" w:type="dxa"/>
            <w:gridSpan w:val="8"/>
          </w:tcPr>
          <w:p w:rsidR="00BB44D3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Licitlépcső: 5.000,- Ft</w:t>
            </w:r>
          </w:p>
        </w:tc>
      </w:tr>
      <w:tr w:rsidR="001656A9" w:rsidTr="00E60583">
        <w:tc>
          <w:tcPr>
            <w:tcW w:w="9288" w:type="dxa"/>
            <w:gridSpan w:val="8"/>
          </w:tcPr>
          <w:p w:rsidR="001656A9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A" w:rsidTr="00036565">
        <w:tc>
          <w:tcPr>
            <w:tcW w:w="1936" w:type="dxa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Kistehergépjármű</w:t>
            </w:r>
            <w:proofErr w:type="spellEnd"/>
          </w:p>
        </w:tc>
        <w:tc>
          <w:tcPr>
            <w:tcW w:w="1839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M25 platós (1991.)</w:t>
            </w:r>
          </w:p>
        </w:tc>
        <w:tc>
          <w:tcPr>
            <w:tcW w:w="1837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AEV-094</w:t>
            </w:r>
          </w:p>
        </w:tc>
        <w:tc>
          <w:tcPr>
            <w:tcW w:w="1843" w:type="dxa"/>
            <w:gridSpan w:val="2"/>
          </w:tcPr>
          <w:p w:rsidR="0077756A" w:rsidRDefault="0071650B" w:rsidP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0.000,-</w:t>
            </w:r>
          </w:p>
        </w:tc>
        <w:tc>
          <w:tcPr>
            <w:tcW w:w="1833" w:type="dxa"/>
          </w:tcPr>
          <w:p w:rsidR="0077756A" w:rsidRDefault="00CF48D0" w:rsidP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50B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</w:tr>
      <w:tr w:rsidR="00BB44D3" w:rsidTr="00E8791F">
        <w:tc>
          <w:tcPr>
            <w:tcW w:w="9288" w:type="dxa"/>
            <w:gridSpan w:val="8"/>
          </w:tcPr>
          <w:p w:rsidR="00BB44D3" w:rsidRDefault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Árverési előleg (ajánlati biztosíték) összege: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 xml:space="preserve"> 10.000,- Ft</w:t>
            </w:r>
          </w:p>
        </w:tc>
      </w:tr>
      <w:tr w:rsidR="00BB44D3" w:rsidTr="009044F2">
        <w:tc>
          <w:tcPr>
            <w:tcW w:w="9288" w:type="dxa"/>
            <w:gridSpan w:val="8"/>
          </w:tcPr>
          <w:p w:rsidR="00BB44D3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Licitlépcső: 5.000,- Ft</w:t>
            </w:r>
          </w:p>
        </w:tc>
      </w:tr>
      <w:tr w:rsidR="001656A9" w:rsidTr="009044F2">
        <w:tc>
          <w:tcPr>
            <w:tcW w:w="9288" w:type="dxa"/>
            <w:gridSpan w:val="8"/>
          </w:tcPr>
          <w:p w:rsidR="001656A9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A" w:rsidTr="00036565">
        <w:tc>
          <w:tcPr>
            <w:tcW w:w="1936" w:type="dxa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Lassújármű</w:t>
            </w:r>
          </w:p>
        </w:tc>
        <w:tc>
          <w:tcPr>
            <w:tcW w:w="1839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Rába 15</w:t>
            </w:r>
          </w:p>
        </w:tc>
        <w:tc>
          <w:tcPr>
            <w:tcW w:w="1837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YEE-393</w:t>
            </w:r>
          </w:p>
        </w:tc>
        <w:tc>
          <w:tcPr>
            <w:tcW w:w="1843" w:type="dxa"/>
            <w:gridSpan w:val="2"/>
          </w:tcPr>
          <w:p w:rsidR="0077756A" w:rsidRDefault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50B">
              <w:rPr>
                <w:rFonts w:ascii="Times New Roman" w:hAnsi="Times New Roman" w:cs="Times New Roman"/>
                <w:sz w:val="24"/>
                <w:szCs w:val="24"/>
              </w:rPr>
              <w:t>50.000,-</w:t>
            </w:r>
          </w:p>
        </w:tc>
        <w:tc>
          <w:tcPr>
            <w:tcW w:w="1833" w:type="dxa"/>
          </w:tcPr>
          <w:p w:rsidR="0077756A" w:rsidRDefault="00CF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1650B">
              <w:rPr>
                <w:rFonts w:ascii="Times New Roman" w:hAnsi="Times New Roman" w:cs="Times New Roman"/>
                <w:sz w:val="24"/>
                <w:szCs w:val="24"/>
              </w:rPr>
              <w:t>.500,-</w:t>
            </w:r>
          </w:p>
        </w:tc>
      </w:tr>
      <w:tr w:rsidR="00BB44D3" w:rsidTr="00AA11E2">
        <w:tc>
          <w:tcPr>
            <w:tcW w:w="9288" w:type="dxa"/>
            <w:gridSpan w:val="8"/>
          </w:tcPr>
          <w:p w:rsidR="00BB44D3" w:rsidRDefault="00BB44D3" w:rsidP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Árverési előleg (ajánlati biztosíték) összege: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 xml:space="preserve"> 15.000,- Ft</w:t>
            </w:r>
          </w:p>
        </w:tc>
      </w:tr>
      <w:tr w:rsidR="00BB44D3" w:rsidTr="00EF574E">
        <w:tc>
          <w:tcPr>
            <w:tcW w:w="9288" w:type="dxa"/>
            <w:gridSpan w:val="8"/>
          </w:tcPr>
          <w:p w:rsidR="00BB44D3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Licitlépcső: 5.000,- Ft</w:t>
            </w:r>
          </w:p>
        </w:tc>
      </w:tr>
      <w:tr w:rsidR="001656A9" w:rsidTr="00EF574E">
        <w:tc>
          <w:tcPr>
            <w:tcW w:w="9288" w:type="dxa"/>
            <w:gridSpan w:val="8"/>
          </w:tcPr>
          <w:p w:rsidR="001656A9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6A" w:rsidTr="00036565">
        <w:tc>
          <w:tcPr>
            <w:tcW w:w="1936" w:type="dxa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Lassújármű</w:t>
            </w:r>
          </w:p>
        </w:tc>
        <w:tc>
          <w:tcPr>
            <w:tcW w:w="1839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Vlagyimirecz</w:t>
            </w:r>
            <w:proofErr w:type="spellEnd"/>
          </w:p>
        </w:tc>
        <w:tc>
          <w:tcPr>
            <w:tcW w:w="1837" w:type="dxa"/>
            <w:gridSpan w:val="2"/>
          </w:tcPr>
          <w:p w:rsidR="0077756A" w:rsidRDefault="0077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YDV-943</w:t>
            </w:r>
          </w:p>
        </w:tc>
        <w:tc>
          <w:tcPr>
            <w:tcW w:w="1843" w:type="dxa"/>
            <w:gridSpan w:val="2"/>
          </w:tcPr>
          <w:p w:rsidR="0077756A" w:rsidRDefault="007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300.000,-</w:t>
            </w:r>
          </w:p>
        </w:tc>
        <w:tc>
          <w:tcPr>
            <w:tcW w:w="1833" w:type="dxa"/>
          </w:tcPr>
          <w:p w:rsidR="0077756A" w:rsidRDefault="0071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81.000,-</w:t>
            </w:r>
          </w:p>
        </w:tc>
      </w:tr>
      <w:tr w:rsidR="00BB44D3" w:rsidTr="007517CE">
        <w:tc>
          <w:tcPr>
            <w:tcW w:w="9288" w:type="dxa"/>
            <w:gridSpan w:val="8"/>
          </w:tcPr>
          <w:p w:rsidR="00BB44D3" w:rsidRDefault="00BB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Árverési előleg (ajánlati biztosíték) összege:</w:t>
            </w:r>
            <w:r w:rsidR="00CF48D0">
              <w:rPr>
                <w:rFonts w:ascii="Times New Roman" w:hAnsi="Times New Roman" w:cs="Times New Roman"/>
                <w:sz w:val="24"/>
                <w:szCs w:val="24"/>
              </w:rPr>
              <w:t xml:space="preserve"> 30.000,- Ft</w:t>
            </w:r>
          </w:p>
        </w:tc>
      </w:tr>
      <w:tr w:rsidR="00BB44D3" w:rsidTr="00F6273E">
        <w:tc>
          <w:tcPr>
            <w:tcW w:w="9288" w:type="dxa"/>
            <w:gridSpan w:val="8"/>
          </w:tcPr>
          <w:p w:rsidR="00BB44D3" w:rsidRDefault="0016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Licitlépcső: 10.000,- Ft</w:t>
            </w:r>
          </w:p>
        </w:tc>
      </w:tr>
    </w:tbl>
    <w:p w:rsidR="0077756A" w:rsidRDefault="0077756A">
      <w:pPr>
        <w:rPr>
          <w:rFonts w:ascii="Times New Roman" w:hAnsi="Times New Roman" w:cs="Times New Roman"/>
          <w:sz w:val="24"/>
          <w:szCs w:val="24"/>
        </w:rPr>
      </w:pP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Árvereztető az árverés megkezdésekor ismerteti az árverés részletes feltételeit.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Árverésen részt venni és vételi ajánlatot tenni személyesen vagy meghatalmazott útján lehet. A meghatalmazást köz</w:t>
      </w:r>
      <w:r w:rsidR="00E46AA6">
        <w:rPr>
          <w:rFonts w:ascii="Times New Roman" w:hAnsi="Times New Roman" w:cs="Times New Roman"/>
          <w:sz w:val="24"/>
          <w:szCs w:val="24"/>
        </w:rPr>
        <w:t xml:space="preserve">jegyző által hitelesített </w:t>
      </w:r>
      <w:r w:rsidRPr="00BB44D3">
        <w:rPr>
          <w:rFonts w:ascii="Times New Roman" w:hAnsi="Times New Roman" w:cs="Times New Roman"/>
          <w:sz w:val="24"/>
          <w:szCs w:val="24"/>
        </w:rPr>
        <w:t>okiratba</w:t>
      </w:r>
      <w:r w:rsidR="00E46AA6">
        <w:rPr>
          <w:rFonts w:ascii="Times New Roman" w:hAnsi="Times New Roman" w:cs="Times New Roman"/>
          <w:sz w:val="24"/>
          <w:szCs w:val="24"/>
        </w:rPr>
        <w:t>,</w:t>
      </w:r>
      <w:r w:rsidRPr="00BB44D3">
        <w:rPr>
          <w:rFonts w:ascii="Times New Roman" w:hAnsi="Times New Roman" w:cs="Times New Roman"/>
          <w:sz w:val="24"/>
          <w:szCs w:val="24"/>
        </w:rPr>
        <w:t xml:space="preserve"> vagy teljes bizonyító erejű magánokiratba kell foglalni.</w:t>
      </w:r>
    </w:p>
    <w:p w:rsidR="00BB44D3" w:rsidRDefault="00BB44D3" w:rsidP="00BB44D3">
      <w:pPr>
        <w:rPr>
          <w:rFonts w:ascii="Times New Roman" w:hAnsi="Times New Roman" w:cs="Times New Roman"/>
          <w:sz w:val="24"/>
          <w:szCs w:val="24"/>
        </w:rPr>
      </w:pPr>
    </w:p>
    <w:p w:rsidR="008A57B6" w:rsidRDefault="008A57B6" w:rsidP="00BB44D3">
      <w:pPr>
        <w:rPr>
          <w:rFonts w:ascii="Times New Roman" w:hAnsi="Times New Roman" w:cs="Times New Roman"/>
          <w:sz w:val="24"/>
          <w:szCs w:val="24"/>
        </w:rPr>
      </w:pPr>
    </w:p>
    <w:p w:rsidR="00BB44D3" w:rsidRPr="00BB44D3" w:rsidRDefault="00BB44D3" w:rsidP="00BB44D3">
      <w:pPr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b/>
          <w:bCs/>
          <w:sz w:val="24"/>
          <w:szCs w:val="24"/>
        </w:rPr>
        <w:lastRenderedPageBreak/>
        <w:t>A jelentkezés feltételei:</w:t>
      </w:r>
    </w:p>
    <w:p w:rsidR="00BB44D3" w:rsidRPr="00BB44D3" w:rsidRDefault="00BB44D3" w:rsidP="00BB44D3">
      <w:pPr>
        <w:rPr>
          <w:rFonts w:ascii="Times New Roman" w:hAnsi="Times New Roman" w:cs="Times New Roman"/>
          <w:sz w:val="24"/>
          <w:szCs w:val="24"/>
        </w:rPr>
      </w:pPr>
    </w:p>
    <w:p w:rsidR="00BB44D3" w:rsidRPr="00BB44D3" w:rsidRDefault="00BB44D3" w:rsidP="00BB44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személyazonosság igazolása, képviselet esetén közjegyző által hitelesített okiratba</w:t>
      </w:r>
      <w:r w:rsidR="0071650B">
        <w:rPr>
          <w:rFonts w:ascii="Times New Roman" w:hAnsi="Times New Roman" w:cs="Times New Roman"/>
          <w:sz w:val="24"/>
          <w:szCs w:val="24"/>
        </w:rPr>
        <w:t>, vagy teljes bizonyító erejű magánokiratba</w:t>
      </w:r>
      <w:r w:rsidRPr="00BB44D3">
        <w:rPr>
          <w:rFonts w:ascii="Times New Roman" w:hAnsi="Times New Roman" w:cs="Times New Roman"/>
          <w:sz w:val="24"/>
          <w:szCs w:val="24"/>
        </w:rPr>
        <w:t xml:space="preserve"> foglalt meghatalmazás bemutatása</w:t>
      </w:r>
      <w:r w:rsidR="00444CAA">
        <w:rPr>
          <w:rFonts w:ascii="Times New Roman" w:hAnsi="Times New Roman" w:cs="Times New Roman"/>
          <w:sz w:val="24"/>
          <w:szCs w:val="24"/>
        </w:rPr>
        <w:t xml:space="preserve"> és</w:t>
      </w:r>
      <w:r w:rsidRPr="00BB44D3">
        <w:rPr>
          <w:rFonts w:ascii="Times New Roman" w:hAnsi="Times New Roman" w:cs="Times New Roman"/>
          <w:sz w:val="24"/>
          <w:szCs w:val="24"/>
        </w:rPr>
        <w:t xml:space="preserve"> annak átadása;</w:t>
      </w:r>
    </w:p>
    <w:p w:rsidR="00BB44D3" w:rsidRPr="00BB44D3" w:rsidRDefault="00BB44D3" w:rsidP="00BB44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gazdasági társaság nevében történő részvétel esetén 30 napnál nem régebbi cégkivonat vagy a bejegyeztetés folyamatba tételét igazoló cégeljárási igazolás és aláírási címpéldány átadása;</w:t>
      </w:r>
    </w:p>
    <w:p w:rsidR="00BB44D3" w:rsidRPr="008A57B6" w:rsidRDefault="00BB44D3" w:rsidP="00BB44D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CAA">
        <w:rPr>
          <w:rFonts w:ascii="Times New Roman" w:hAnsi="Times New Roman" w:cs="Times New Roman"/>
          <w:sz w:val="24"/>
          <w:szCs w:val="24"/>
        </w:rPr>
        <w:t>Igazolás bemutatása arról, hogy az árverező az árverési előleget (ajánlati biztosítékot) a kitűzött árverés időpontját megelőzően (azaz az árverés megkezdéséig) készpénzben befizette az Árvereztető pénztárába</w:t>
      </w:r>
      <w:r w:rsidR="0071650B" w:rsidRPr="00444CAA">
        <w:rPr>
          <w:rFonts w:ascii="Times New Roman" w:hAnsi="Times New Roman" w:cs="Times New Roman"/>
          <w:sz w:val="24"/>
          <w:szCs w:val="24"/>
        </w:rPr>
        <w:t xml:space="preserve"> (Mezőberényi Polgármesteri Hivatal, 5650 </w:t>
      </w:r>
      <w:r w:rsidR="0071650B" w:rsidRPr="008A57B6">
        <w:rPr>
          <w:rFonts w:ascii="Times New Roman" w:hAnsi="Times New Roman" w:cs="Times New Roman"/>
          <w:sz w:val="24"/>
          <w:szCs w:val="24"/>
        </w:rPr>
        <w:t xml:space="preserve">Mezőberény, Kossuth tér 1. fsz. </w:t>
      </w:r>
      <w:r w:rsidR="005D2BF6" w:rsidRPr="008A57B6">
        <w:rPr>
          <w:rFonts w:ascii="Times New Roman" w:hAnsi="Times New Roman" w:cs="Times New Roman"/>
          <w:sz w:val="24"/>
          <w:szCs w:val="24"/>
        </w:rPr>
        <w:t>1</w:t>
      </w:r>
      <w:r w:rsidR="008A57B6" w:rsidRPr="008A57B6">
        <w:rPr>
          <w:rFonts w:ascii="Times New Roman" w:hAnsi="Times New Roman" w:cs="Times New Roman"/>
          <w:sz w:val="24"/>
          <w:szCs w:val="24"/>
        </w:rPr>
        <w:t>0</w:t>
      </w:r>
      <w:r w:rsidR="0071650B" w:rsidRPr="008A57B6">
        <w:rPr>
          <w:rFonts w:ascii="Times New Roman" w:hAnsi="Times New Roman" w:cs="Times New Roman"/>
          <w:sz w:val="24"/>
          <w:szCs w:val="24"/>
        </w:rPr>
        <w:t>. sz. iroda),</w:t>
      </w:r>
    </w:p>
    <w:p w:rsidR="00BB44D3" w:rsidRPr="00BB44D3" w:rsidRDefault="00BB44D3" w:rsidP="00BB44D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árverés feltételeinek és a kötendő szerződés feltételeinek elfogadásáról szóló nyilatkozatot</w:t>
      </w:r>
      <w:r w:rsidR="0071650B">
        <w:rPr>
          <w:rFonts w:ascii="Times New Roman" w:hAnsi="Times New Roman" w:cs="Times New Roman"/>
          <w:sz w:val="24"/>
          <w:szCs w:val="24"/>
        </w:rPr>
        <w:t>,</w:t>
      </w:r>
    </w:p>
    <w:p w:rsidR="00BB44D3" w:rsidRPr="00BB44D3" w:rsidRDefault="00444CAA" w:rsidP="00BB44D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az árverezni kívánt eszközökről</w:t>
      </w:r>
      <w:r w:rsidR="00BB44D3" w:rsidRPr="00BB44D3">
        <w:rPr>
          <w:rFonts w:ascii="Times New Roman" w:hAnsi="Times New Roman" w:cs="Times New Roman"/>
          <w:sz w:val="24"/>
          <w:szCs w:val="24"/>
        </w:rPr>
        <w:t>.</w:t>
      </w:r>
    </w:p>
    <w:p w:rsidR="00BB44D3" w:rsidRPr="00BB44D3" w:rsidRDefault="00F13444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nyilatkozat minták letölthetők a Városi Közszolgáltató Intézmény honlapjáról, a Dokumentumok menüpontban (</w:t>
      </w:r>
      <w:r w:rsidRPr="00F13444">
        <w:rPr>
          <w:rFonts w:ascii="Times New Roman" w:hAnsi="Times New Roman" w:cs="Times New Roman"/>
          <w:sz w:val="24"/>
          <w:szCs w:val="24"/>
        </w:rPr>
        <w:t>http://kozszolg.mezobereny.hu/dokumentumok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44CAA" w:rsidRDefault="00444CAA" w:rsidP="00BB44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b/>
          <w:bCs/>
          <w:sz w:val="24"/>
          <w:szCs w:val="24"/>
        </w:rPr>
        <w:t>Egyéb feltételek:</w:t>
      </w:r>
    </w:p>
    <w:p w:rsidR="00BB44D3" w:rsidRDefault="00BB44D3" w:rsidP="00BB44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4D3">
        <w:rPr>
          <w:rFonts w:ascii="Times New Roman" w:hAnsi="Times New Roman" w:cs="Times New Roman"/>
          <w:b/>
          <w:bCs/>
          <w:sz w:val="24"/>
          <w:szCs w:val="24"/>
        </w:rPr>
        <w:t xml:space="preserve">A gépjárműveket </w:t>
      </w:r>
      <w:r w:rsidR="0071650B">
        <w:rPr>
          <w:rFonts w:ascii="Times New Roman" w:hAnsi="Times New Roman" w:cs="Times New Roman"/>
          <w:b/>
          <w:bCs/>
          <w:sz w:val="24"/>
          <w:szCs w:val="24"/>
        </w:rPr>
        <w:t>az árverés napját megelőző munkanapig</w:t>
      </w:r>
      <w:r w:rsidR="00CF48D0">
        <w:rPr>
          <w:rFonts w:ascii="Times New Roman" w:hAnsi="Times New Roman" w:cs="Times New Roman"/>
          <w:b/>
          <w:bCs/>
          <w:sz w:val="24"/>
          <w:szCs w:val="24"/>
        </w:rPr>
        <w:t xml:space="preserve"> (2017. október </w:t>
      </w:r>
      <w:r w:rsidR="00444CA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CF48D0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7165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F48D0">
        <w:rPr>
          <w:rFonts w:ascii="Times New Roman" w:hAnsi="Times New Roman" w:cs="Times New Roman"/>
          <w:b/>
          <w:bCs/>
          <w:sz w:val="24"/>
          <w:szCs w:val="24"/>
        </w:rPr>
        <w:t xml:space="preserve">lehet megtekinteni </w:t>
      </w:r>
      <w:r w:rsidRPr="00BB44D3">
        <w:rPr>
          <w:rFonts w:ascii="Times New Roman" w:hAnsi="Times New Roman" w:cs="Times New Roman"/>
          <w:b/>
          <w:bCs/>
          <w:sz w:val="24"/>
          <w:szCs w:val="24"/>
        </w:rPr>
        <w:t xml:space="preserve">munkanapokon, hétfőtől-csütörtökig 09.00 órától 15.00 óráig, pénteken 09.00 órától 12.00 óráig a </w:t>
      </w:r>
      <w:r>
        <w:rPr>
          <w:rFonts w:ascii="Times New Roman" w:hAnsi="Times New Roman" w:cs="Times New Roman"/>
          <w:b/>
          <w:bCs/>
          <w:sz w:val="24"/>
          <w:szCs w:val="24"/>
        </w:rPr>
        <w:t>Városi Közszolgáltató Intézmény</w:t>
      </w:r>
      <w:r w:rsidRPr="00BB44D3">
        <w:rPr>
          <w:rFonts w:ascii="Times New Roman" w:hAnsi="Times New Roman" w:cs="Times New Roman"/>
          <w:b/>
          <w:bCs/>
          <w:sz w:val="24"/>
          <w:szCs w:val="24"/>
        </w:rPr>
        <w:t xml:space="preserve"> gépjárműtelephelyén,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Mezőberény, </w:t>
      </w:r>
      <w:r w:rsidR="00036565">
        <w:rPr>
          <w:rFonts w:ascii="Times New Roman" w:hAnsi="Times New Roman" w:cs="Times New Roman"/>
          <w:b/>
          <w:bCs/>
          <w:sz w:val="24"/>
          <w:szCs w:val="24"/>
        </w:rPr>
        <w:t>Tavasz u.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B44D3">
        <w:rPr>
          <w:rFonts w:ascii="Times New Roman" w:hAnsi="Times New Roman" w:cs="Times New Roman"/>
          <w:b/>
          <w:bCs/>
          <w:sz w:val="24"/>
          <w:szCs w:val="24"/>
        </w:rPr>
        <w:t xml:space="preserve"> szám alat</w:t>
      </w:r>
      <w:r w:rsidR="0071650B">
        <w:rPr>
          <w:rFonts w:ascii="Times New Roman" w:hAnsi="Times New Roman" w:cs="Times New Roman"/>
          <w:b/>
          <w:bCs/>
          <w:sz w:val="24"/>
          <w:szCs w:val="24"/>
        </w:rPr>
        <w:t>t.</w:t>
      </w:r>
    </w:p>
    <w:p w:rsidR="0071650B" w:rsidRDefault="0071650B" w:rsidP="00BB44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árverés kitűzött időpontja: 2017. október </w:t>
      </w:r>
      <w:r w:rsidR="00444CA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0. (</w:t>
      </w:r>
      <w:r w:rsidR="00444CAA">
        <w:rPr>
          <w:rFonts w:ascii="Times New Roman" w:hAnsi="Times New Roman" w:cs="Times New Roman"/>
          <w:b/>
          <w:bCs/>
          <w:sz w:val="24"/>
          <w:szCs w:val="24"/>
        </w:rPr>
        <w:t>hétfő</w:t>
      </w:r>
      <w:r>
        <w:rPr>
          <w:rFonts w:ascii="Times New Roman" w:hAnsi="Times New Roman" w:cs="Times New Roman"/>
          <w:b/>
          <w:bCs/>
          <w:sz w:val="24"/>
          <w:szCs w:val="24"/>
        </w:rPr>
        <w:t>) 10:00</w:t>
      </w:r>
    </w:p>
    <w:p w:rsidR="0071650B" w:rsidRPr="00BB44D3" w:rsidRDefault="00F13444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árverés helye: Városi Közszolgáltató Intézmény gépjárműtelephelye, 5650 Mezőberény, Tavasz u. 3.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árverésen – az egyéb feltételeknek való megfelelés esetén – az vehet részt, aki a hirdetményben meghatározott árverési biztosítékot a hirdetményben megjelölt módon és időben letétbe helyezte.</w:t>
      </w:r>
    </w:p>
    <w:p w:rsid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Minden egyes árverési tételre külön kell jelentkezni és az árverési előleget (ajánlati biztosítékot) befizetni. Az árverési előleg (ajánlati biztosíték) a vételárba beszámít. Az Árvereztető a nem nyertes árverező részére az árverési előleget (ajánlati biztosítékot) az árverés napján visszafizeti. Az árverési előleg (ajánlati biztosíték) után az Árvereztető költséget nem számít fel, kamatot nem fizet.</w:t>
      </w:r>
      <w:r w:rsidR="00444CAA">
        <w:rPr>
          <w:rFonts w:ascii="Times New Roman" w:hAnsi="Times New Roman" w:cs="Times New Roman"/>
          <w:sz w:val="24"/>
          <w:szCs w:val="24"/>
        </w:rPr>
        <w:t xml:space="preserve"> Az árverési előleg Mezőberényi Polgármesteri Hivatal pénztárába történő befizetésére az alábbi időpontokban van lehetőség:</w:t>
      </w:r>
    </w:p>
    <w:p w:rsidR="00444CAA" w:rsidRPr="008A57B6" w:rsidRDefault="00444CAA" w:rsidP="008A57B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B6">
        <w:rPr>
          <w:rFonts w:ascii="Times New Roman" w:hAnsi="Times New Roman" w:cs="Times New Roman"/>
          <w:sz w:val="24"/>
          <w:szCs w:val="24"/>
        </w:rPr>
        <w:lastRenderedPageBreak/>
        <w:t xml:space="preserve">hétfőn: </w:t>
      </w:r>
      <w:r w:rsidR="008A57B6" w:rsidRPr="008A57B6">
        <w:rPr>
          <w:rFonts w:ascii="Times New Roman" w:hAnsi="Times New Roman" w:cs="Times New Roman"/>
          <w:sz w:val="24"/>
          <w:szCs w:val="24"/>
        </w:rPr>
        <w:t>13:00 órától 15:00</w:t>
      </w:r>
      <w:r w:rsidRPr="008A57B6">
        <w:rPr>
          <w:rFonts w:ascii="Times New Roman" w:hAnsi="Times New Roman" w:cs="Times New Roman"/>
          <w:sz w:val="24"/>
          <w:szCs w:val="24"/>
        </w:rPr>
        <w:t xml:space="preserve"> óráig</w:t>
      </w:r>
      <w:r w:rsidR="008A57B6" w:rsidRPr="008A57B6">
        <w:rPr>
          <w:rFonts w:ascii="Times New Roman" w:hAnsi="Times New Roman" w:cs="Times New Roman"/>
          <w:sz w:val="24"/>
          <w:szCs w:val="24"/>
        </w:rPr>
        <w:t>,</w:t>
      </w:r>
    </w:p>
    <w:p w:rsidR="00444CAA" w:rsidRPr="008A57B6" w:rsidRDefault="00444CAA" w:rsidP="00444CA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B6">
        <w:rPr>
          <w:rFonts w:ascii="Times New Roman" w:hAnsi="Times New Roman" w:cs="Times New Roman"/>
          <w:sz w:val="24"/>
          <w:szCs w:val="24"/>
        </w:rPr>
        <w:t xml:space="preserve">szerdán: </w:t>
      </w:r>
      <w:r w:rsidR="008A57B6" w:rsidRPr="008A57B6">
        <w:rPr>
          <w:rFonts w:ascii="Times New Roman" w:hAnsi="Times New Roman" w:cs="Times New Roman"/>
          <w:sz w:val="24"/>
          <w:szCs w:val="24"/>
        </w:rPr>
        <w:t>13:00 órától 15:00 óráig,</w:t>
      </w:r>
    </w:p>
    <w:p w:rsidR="00444CAA" w:rsidRPr="008A57B6" w:rsidRDefault="00444CAA" w:rsidP="00444CA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B6">
        <w:rPr>
          <w:rFonts w:ascii="Times New Roman" w:hAnsi="Times New Roman" w:cs="Times New Roman"/>
          <w:sz w:val="24"/>
          <w:szCs w:val="24"/>
        </w:rPr>
        <w:t xml:space="preserve">pénteken: </w:t>
      </w:r>
      <w:r w:rsidR="008A57B6" w:rsidRPr="008A57B6">
        <w:rPr>
          <w:rFonts w:ascii="Times New Roman" w:hAnsi="Times New Roman" w:cs="Times New Roman"/>
          <w:sz w:val="24"/>
          <w:szCs w:val="24"/>
        </w:rPr>
        <w:t>8:00 órától 11:00 óráig.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444CAA">
        <w:rPr>
          <w:rFonts w:ascii="Times New Roman" w:hAnsi="Times New Roman" w:cs="Times New Roman"/>
          <w:sz w:val="24"/>
          <w:szCs w:val="24"/>
        </w:rPr>
        <w:t xml:space="preserve">Amennyiben a nyertes árverező </w:t>
      </w:r>
      <w:r w:rsidR="00444CAA" w:rsidRPr="00444CAA">
        <w:rPr>
          <w:rFonts w:ascii="Times New Roman" w:hAnsi="Times New Roman" w:cs="Times New Roman"/>
          <w:sz w:val="24"/>
          <w:szCs w:val="24"/>
        </w:rPr>
        <w:t xml:space="preserve">az árverés napjától számított 15 napon belül (2017. november 14-ig) </w:t>
      </w:r>
      <w:r w:rsidRPr="00444CAA">
        <w:rPr>
          <w:rFonts w:ascii="Times New Roman" w:hAnsi="Times New Roman" w:cs="Times New Roman"/>
          <w:sz w:val="24"/>
          <w:szCs w:val="24"/>
        </w:rPr>
        <w:t>a szerződést neki felróható okból nem köti meg</w:t>
      </w:r>
      <w:r w:rsidR="00444CAA" w:rsidRPr="00444CAA">
        <w:rPr>
          <w:rFonts w:ascii="Times New Roman" w:hAnsi="Times New Roman" w:cs="Times New Roman"/>
          <w:sz w:val="24"/>
          <w:szCs w:val="24"/>
        </w:rPr>
        <w:t>,</w:t>
      </w:r>
      <w:r w:rsidRPr="00444CAA">
        <w:rPr>
          <w:rFonts w:ascii="Times New Roman" w:hAnsi="Times New Roman" w:cs="Times New Roman"/>
          <w:sz w:val="24"/>
          <w:szCs w:val="24"/>
        </w:rPr>
        <w:t xml:space="preserve"> </w:t>
      </w:r>
      <w:r w:rsidRPr="00444CAA">
        <w:rPr>
          <w:rFonts w:ascii="Times New Roman" w:hAnsi="Times New Roman" w:cs="Times New Roman"/>
          <w:b/>
          <w:sz w:val="24"/>
          <w:szCs w:val="24"/>
          <w:u w:val="single"/>
        </w:rPr>
        <w:t>vagy</w:t>
      </w:r>
      <w:r w:rsidRPr="00444CAA">
        <w:rPr>
          <w:rFonts w:ascii="Times New Roman" w:hAnsi="Times New Roman" w:cs="Times New Roman"/>
          <w:sz w:val="24"/>
          <w:szCs w:val="24"/>
        </w:rPr>
        <w:t xml:space="preserve"> a teljes vételárat </w:t>
      </w:r>
      <w:r w:rsidR="00B3640D">
        <w:rPr>
          <w:rFonts w:ascii="Times New Roman" w:hAnsi="Times New Roman" w:cs="Times New Roman"/>
          <w:sz w:val="24"/>
          <w:szCs w:val="24"/>
        </w:rPr>
        <w:t xml:space="preserve">a szerződésben rögzített határidőig </w:t>
      </w:r>
      <w:r w:rsidRPr="00444CAA">
        <w:rPr>
          <w:rFonts w:ascii="Times New Roman" w:hAnsi="Times New Roman" w:cs="Times New Roman"/>
          <w:sz w:val="24"/>
          <w:szCs w:val="24"/>
        </w:rPr>
        <w:t xml:space="preserve">nem fizeti meg, úgy kell tekinteni, hogy a jogügylettől visszalépett. Ilyen esetben a befizetett árverési biztosítékot elveszti és felelős a szerződéskötés meghiúsulásából </w:t>
      </w:r>
      <w:r w:rsidR="00036565" w:rsidRPr="00444CAA">
        <w:rPr>
          <w:rFonts w:ascii="Times New Roman" w:hAnsi="Times New Roman" w:cs="Times New Roman"/>
          <w:sz w:val="24"/>
          <w:szCs w:val="24"/>
        </w:rPr>
        <w:t xml:space="preserve">eredő, </w:t>
      </w:r>
      <w:r w:rsidRPr="00444CAA">
        <w:rPr>
          <w:rFonts w:ascii="Times New Roman" w:hAnsi="Times New Roman" w:cs="Times New Roman"/>
          <w:sz w:val="24"/>
          <w:szCs w:val="24"/>
        </w:rPr>
        <w:t>az árvereztetőt ért károkért, továbbá viselni köteles az árvereztető ebből fakadó költségeit</w:t>
      </w:r>
      <w:r w:rsidR="00444CAA">
        <w:rPr>
          <w:rFonts w:ascii="Times New Roman" w:hAnsi="Times New Roman" w:cs="Times New Roman"/>
          <w:sz w:val="24"/>
          <w:szCs w:val="24"/>
        </w:rPr>
        <w:t>.</w:t>
      </w:r>
    </w:p>
    <w:p w:rsidR="00B3640D" w:rsidRPr="00BB44D3" w:rsidRDefault="00B3640D" w:rsidP="00B3640D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Árvereztető fenntartja a jogot arra, hogy a nyertes árverező visszalépése esetén az árverés soron következő helyezettjével kössön szerződést.</w:t>
      </w:r>
      <w:r>
        <w:rPr>
          <w:rFonts w:ascii="Times New Roman" w:hAnsi="Times New Roman" w:cs="Times New Roman"/>
          <w:sz w:val="24"/>
          <w:szCs w:val="24"/>
        </w:rPr>
        <w:t xml:space="preserve"> Amennyiben a nyertes árverező a jogügylettől visszalép, úgy a vonatkozó határidők a visszalépés napjától számítódnak a következő helyezettek tekintetében. Az árverési előleget ebben az esetben a következő helyezett árverezőnek nem kell újra befizetnie, az a vételárral együtt kerül megfizetésre.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D3" w:rsidRPr="00BB44D3" w:rsidRDefault="00BB44D3" w:rsidP="00BB44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D3">
        <w:rPr>
          <w:rFonts w:ascii="Times New Roman" w:hAnsi="Times New Roman" w:cs="Times New Roman"/>
          <w:b/>
          <w:bCs/>
          <w:sz w:val="24"/>
          <w:szCs w:val="24"/>
        </w:rPr>
        <w:t>Az árverés eredménytelen, ha</w:t>
      </w:r>
    </w:p>
    <w:p w:rsidR="00BB44D3" w:rsidRPr="00BB44D3" w:rsidRDefault="00BB44D3" w:rsidP="00BB44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nem jelent meg egyetlen árverező sem,</w:t>
      </w:r>
    </w:p>
    <w:p w:rsidR="00BB44D3" w:rsidRPr="00BB44D3" w:rsidRDefault="00BB44D3" w:rsidP="00BB44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árverezők nem tettek érvényes vételi ajánlatot;</w:t>
      </w:r>
    </w:p>
    <w:p w:rsidR="00BB44D3" w:rsidRPr="00BB44D3" w:rsidRDefault="00BB44D3" w:rsidP="00BB44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ha az árverési eljárás tisztaságát, vagy az árverezők érdekeit súlyosan sértő cselekmény miatt az árverés érvénytelenítéséről kell dönteni;</w:t>
      </w:r>
    </w:p>
    <w:p w:rsidR="00BB44D3" w:rsidRPr="00BB44D3" w:rsidRDefault="00BB44D3" w:rsidP="00BB44D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 nyertes ajánlattevő visszalépése esetében, amennyiben az árverés soron következő helyezettjével történő szerződéskötésre nem kerül sor. (Visszalépésnek minősül, ha a nyertes ajánlattevő a szerződéskötésre előírt határidő alatt a szerződést nem köti meg</w:t>
      </w:r>
      <w:r w:rsidR="00B3640D">
        <w:rPr>
          <w:rFonts w:ascii="Times New Roman" w:hAnsi="Times New Roman" w:cs="Times New Roman"/>
          <w:sz w:val="24"/>
          <w:szCs w:val="24"/>
        </w:rPr>
        <w:t>.</w:t>
      </w:r>
      <w:r w:rsidRPr="00BB44D3">
        <w:rPr>
          <w:rFonts w:ascii="Times New Roman" w:hAnsi="Times New Roman" w:cs="Times New Roman"/>
          <w:sz w:val="24"/>
          <w:szCs w:val="24"/>
        </w:rPr>
        <w:t>) Ebben az esetben a nyertes árverező a befizetett árverési előleget elveszti.</w:t>
      </w:r>
    </w:p>
    <w:p w:rsidR="005D2BF6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Árvereztető fenntartja jogát arra, hogy az árverés</w:t>
      </w:r>
      <w:r w:rsidR="005D2BF6">
        <w:rPr>
          <w:rFonts w:ascii="Times New Roman" w:hAnsi="Times New Roman" w:cs="Times New Roman"/>
          <w:sz w:val="24"/>
          <w:szCs w:val="24"/>
        </w:rPr>
        <w:t>t eredménytelennek nyilvánítsa.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Árvereztető fenntartja a jogot arra, hogy a nyertes árverező visszalépése esetén az árverés soron következő helyezettjével kössön szerződést.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sz w:val="24"/>
          <w:szCs w:val="24"/>
        </w:rPr>
        <w:t>Az Árvereztető fenntartja a jogot arra, hogy az árverési hirdetményt az árverés időpontját megelőzően visszavonja, melyről a hirdetmény közlésével megegyező helyeken újabb hirdetményt tesz közzé.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  <w:r w:rsidRPr="00BB44D3">
        <w:rPr>
          <w:rFonts w:ascii="Times New Roman" w:hAnsi="Times New Roman" w:cs="Times New Roman"/>
          <w:b/>
          <w:bCs/>
          <w:sz w:val="24"/>
          <w:szCs w:val="24"/>
        </w:rPr>
        <w:t>A tulajdonszerzési korlátozásba ütköző szerződés semmis.</w:t>
      </w:r>
    </w:p>
    <w:p w:rsidR="00BB44D3" w:rsidRPr="00BB44D3" w:rsidRDefault="00BB44D3" w:rsidP="00BB4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D3" w:rsidRPr="00BB44D3" w:rsidRDefault="009E02F3" w:rsidP="00BB44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Városi Közszolgáltató Intézmény</w:t>
      </w:r>
    </w:p>
    <w:sectPr w:rsidR="00BB44D3" w:rsidRPr="00BB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2231"/>
    <w:multiLevelType w:val="hybridMultilevel"/>
    <w:tmpl w:val="5A3AD9D6"/>
    <w:lvl w:ilvl="0" w:tplc="95B48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D3A4F"/>
    <w:multiLevelType w:val="multilevel"/>
    <w:tmpl w:val="3F0C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23DA7"/>
    <w:multiLevelType w:val="multilevel"/>
    <w:tmpl w:val="C7E2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94B48"/>
    <w:multiLevelType w:val="multilevel"/>
    <w:tmpl w:val="AC3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6A"/>
    <w:rsid w:val="00036565"/>
    <w:rsid w:val="001656A9"/>
    <w:rsid w:val="002607E4"/>
    <w:rsid w:val="00444CAA"/>
    <w:rsid w:val="00544E77"/>
    <w:rsid w:val="005D2BF6"/>
    <w:rsid w:val="00681BA8"/>
    <w:rsid w:val="006A62E6"/>
    <w:rsid w:val="0071650B"/>
    <w:rsid w:val="0077756A"/>
    <w:rsid w:val="008169B1"/>
    <w:rsid w:val="00824C45"/>
    <w:rsid w:val="008A57B6"/>
    <w:rsid w:val="009E02F3"/>
    <w:rsid w:val="00B3640D"/>
    <w:rsid w:val="00BB44D3"/>
    <w:rsid w:val="00CF3DBC"/>
    <w:rsid w:val="00CF48D0"/>
    <w:rsid w:val="00D42BBC"/>
    <w:rsid w:val="00DC59B7"/>
    <w:rsid w:val="00E46AA6"/>
    <w:rsid w:val="00E64271"/>
    <w:rsid w:val="00F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B44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7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B44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4C4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4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748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13</cp:revision>
  <cp:lastPrinted>2017-09-12T11:14:00Z</cp:lastPrinted>
  <dcterms:created xsi:type="dcterms:W3CDTF">2017-05-30T08:25:00Z</dcterms:created>
  <dcterms:modified xsi:type="dcterms:W3CDTF">2017-09-27T13:54:00Z</dcterms:modified>
</cp:coreProperties>
</file>